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0F4143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EA2757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+*yqw*azn*xdA*pyi*xaD*mDo*yCn*pwD*dzb*fsc*zew*-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+*eDs*lyd*lyd*lyd*lyd*jBc*jBn*gci*ydu*Bsn*zfE*-</w:t>
            </w:r>
            <w:r>
              <w:rPr>
                <w:rFonts w:ascii="PDF417x" w:hAnsi="PDF417x"/>
                <w:sz w:val="24"/>
                <w:szCs w:val="24"/>
              </w:rPr>
              <w:br/>
              <w:t>+*ftw*kse*tuc*Bnq*BCk*fvs*kuB*jbl*gjb*wyl*onA*-</w:t>
            </w:r>
            <w:r>
              <w:rPr>
                <w:rFonts w:ascii="PDF417x" w:hAnsi="PDF417x"/>
                <w:sz w:val="24"/>
                <w:szCs w:val="24"/>
              </w:rPr>
              <w:br/>
              <w:t>+*ftA*lBu*uak*trE*wgh*jCj*zgf*tDn*oyD*yuB*uws*-</w:t>
            </w:r>
            <w:r>
              <w:rPr>
                <w:rFonts w:ascii="PDF417x" w:hAnsi="PDF417x"/>
                <w:sz w:val="24"/>
                <w:szCs w:val="24"/>
              </w:rPr>
              <w:br/>
              <w:t>+*xjq*lmy*DDj*hAw*txi*Fvy*bmc*rxl*hBs*vyl*uzq*-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0424B398" w14:textId="77777777" w:rsidTr="00675A85">
        <w:trPr>
          <w:trHeight w:val="1152"/>
        </w:trPr>
        <w:tc>
          <w:tcPr>
            <w:tcW w:w="1008" w:type="dxa"/>
          </w:tcPr>
          <w:p w14:paraId="6EB85320" w14:textId="77777777" w:rsidR="00675A85" w:rsidRDefault="00675A85" w:rsidP="00675A85"/>
        </w:tc>
        <w:tc>
          <w:tcPr>
            <w:tcW w:w="5130" w:type="dxa"/>
          </w:tcPr>
          <w:p w14:paraId="3059E7F7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67BAEA8D" wp14:editId="08C51D22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63891341" w14:textId="77777777" w:rsidTr="00675A85">
        <w:tc>
          <w:tcPr>
            <w:tcW w:w="1008" w:type="dxa"/>
          </w:tcPr>
          <w:p w14:paraId="0F0A7EED" w14:textId="77777777" w:rsidR="00675A85" w:rsidRDefault="00675A85" w:rsidP="00675A85">
            <w:r>
              <w:drawing>
                <wp:inline distT="0" distB="0" distL="0" distR="0" wp14:anchorId="0CFB6923" wp14:editId="23FD17A4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0B40020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4757DAE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1A633C94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6C17AE5D" w14:textId="77777777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GRADONAČELNI</w:t>
            </w:r>
            <w:r w:rsidR="001D38A2" w:rsidRPr="001D38A2">
              <w:rPr>
                <w:rFonts w:ascii="Times New Roman" w:hAnsi="Times New Roman" w:cs="Times New Roman"/>
                <w:b/>
              </w:rPr>
              <w:t>CA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5591A0B9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CB48CFE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ECFB8BD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11EF1B35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CF36CFD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1A8EA3F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82F3F8B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7A56402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EFA5028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3E1E78C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2C7CB79C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024-02/24-01/06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479C95AB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2103-2-05/05-25-2</w:t>
      </w:r>
    </w:p>
    <w:p w14:paraId="2AB7FC33" w14:textId="2E3A5B7F" w:rsidR="00B92D0F" w:rsidRPr="00BF49AB" w:rsidRDefault="00421BCF" w:rsidP="00BF49AB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BF49A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.12.2025.</w:t>
      </w:r>
    </w:p>
    <w:p w14:paraId="6F52F8FB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6AADC1F" w14:textId="77777777" w:rsidR="00BF49AB" w:rsidRDefault="00BF49AB" w:rsidP="00BF49A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Na temelju članka 48. stavka 4. Zakona o predškolskom odgoju i obrazovanju (“Narodne novine” 10/97, 107/07, 94/13, 98/19, 57/22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i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101/23) i članka 34. Statuta Grada Čazme („Službeni vjesnik“ 13/21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i 39/25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), Gradsko vijeće Grada Čazme na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8.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sjednici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održanoj dana 11. prosinca 2025.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donijelo je </w:t>
      </w:r>
    </w:p>
    <w:p w14:paraId="03CB614A" w14:textId="77777777" w:rsidR="00BF49AB" w:rsidRPr="00172516" w:rsidRDefault="00BF49AB" w:rsidP="00BF49A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2C60070F" w14:textId="77777777" w:rsidR="00BF49AB" w:rsidRPr="00172516" w:rsidRDefault="00BF49AB" w:rsidP="00BF49A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O D L U K U </w:t>
      </w:r>
    </w:p>
    <w:p w14:paraId="7AFBA69C" w14:textId="77777777" w:rsidR="00BF49AB" w:rsidRPr="00172516" w:rsidRDefault="00BF49AB" w:rsidP="00BF49A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izmjeni Odluke o </w:t>
      </w: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utvrđivanju mjerila za sudjelovanje roditelja u cijeni </w:t>
      </w:r>
    </w:p>
    <w:p w14:paraId="2333988C" w14:textId="77777777" w:rsidR="00BF49AB" w:rsidRPr="00172516" w:rsidRDefault="00BF49AB" w:rsidP="00BF49A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usluga Dječjeg vrtića Pčelica Čazma</w:t>
      </w:r>
    </w:p>
    <w:p w14:paraId="0D6FFFAA" w14:textId="77777777" w:rsidR="00BF49AB" w:rsidRPr="00172516" w:rsidRDefault="00BF49AB" w:rsidP="00BF49A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1CAFD734" w14:textId="77777777" w:rsidR="00BF49AB" w:rsidRPr="00172516" w:rsidRDefault="00BF49AB" w:rsidP="00BF49A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Članak 1. </w:t>
      </w:r>
    </w:p>
    <w:p w14:paraId="20DFB372" w14:textId="77777777" w:rsidR="00BF49AB" w:rsidRPr="00172516" w:rsidRDefault="00BF49AB" w:rsidP="00BF49A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40F3CFD1" w14:textId="77777777" w:rsidR="00BF49AB" w:rsidRPr="00172516" w:rsidRDefault="00BF49AB" w:rsidP="00BF49A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U Odluci </w:t>
      </w:r>
      <w:r w:rsidRP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o utvrđivanju mjerila za sudjelovanje roditelja u cijeni usluga Dječjeg vrtića Pčelica Čazma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 w:rsidRP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(„Službeni vjesnik“ 1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00/24</w:t>
      </w:r>
      <w:r w:rsidRP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)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članak 2. mijenja se i sada glasi: </w:t>
      </w:r>
    </w:p>
    <w:p w14:paraId="64784FA1" w14:textId="77777777" w:rsidR="00BF49AB" w:rsidRPr="00172516" w:rsidRDefault="00BF49AB" w:rsidP="00BF49AB">
      <w:pP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„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Roditelj djeteta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korisnika usluga s prebivalištem na području Grada Čazme dužan je sudjelovati u cijeni programa koje dijete pohađa (primarnog 10-satnog programa), 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i to na način: </w:t>
      </w:r>
    </w:p>
    <w:p w14:paraId="7693B0FF" w14:textId="77777777" w:rsidR="00BF49AB" w:rsidRPr="00ED6A4B" w:rsidRDefault="00BF49AB" w:rsidP="00BF49AB">
      <w:pPr>
        <w:tabs>
          <w:tab w:val="num" w:pos="720"/>
        </w:tabs>
        <w:ind w:left="720" w:hanging="36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172516">
        <w:rPr>
          <w:rFonts w:ascii="Times New Roman" w:eastAsia="Times New Roman" w:hAnsi="Times New Roman" w:cs="Times New Roman"/>
          <w:noProof w:val="0"/>
          <w:sz w:val="14"/>
          <w:szCs w:val="14"/>
          <w:lang w:eastAsia="hr-HR"/>
        </w:rPr>
        <w:t xml:space="preserve">         </w:t>
      </w:r>
      <w:r w:rsidRPr="00ED6A4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110,00 eura mjesečno za jedno dijete </w:t>
      </w:r>
    </w:p>
    <w:p w14:paraId="1AFA1ADA" w14:textId="77777777" w:rsidR="00BF49AB" w:rsidRPr="00172516" w:rsidRDefault="00BF49AB" w:rsidP="00BF49AB">
      <w:pPr>
        <w:tabs>
          <w:tab w:val="num" w:pos="720"/>
        </w:tabs>
        <w:ind w:left="720" w:hanging="36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ED6A4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ED6A4B">
        <w:rPr>
          <w:rFonts w:ascii="Times New Roman" w:eastAsia="Times New Roman" w:hAnsi="Times New Roman" w:cs="Times New Roman"/>
          <w:noProof w:val="0"/>
          <w:sz w:val="14"/>
          <w:szCs w:val="14"/>
          <w:lang w:eastAsia="hr-HR"/>
        </w:rPr>
        <w:t xml:space="preserve">         </w:t>
      </w:r>
      <w:r w:rsidRPr="00ED6A4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77,00 eura 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za drugo dijete istih roditelja,</w:t>
      </w:r>
    </w:p>
    <w:p w14:paraId="07E4EC8C" w14:textId="77777777" w:rsidR="00BF49AB" w:rsidRDefault="00BF49AB" w:rsidP="00BF49AB">
      <w:pPr>
        <w:tabs>
          <w:tab w:val="num" w:pos="720"/>
        </w:tabs>
        <w:ind w:left="720" w:hanging="36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     za treće i svako sljedeće dijete istih roditelja, koje istovremeno pohađa Vrtić, usluga je besplatna.</w:t>
      </w:r>
    </w:p>
    <w:p w14:paraId="7453780B" w14:textId="77777777" w:rsidR="00BF49AB" w:rsidRDefault="00BF49AB" w:rsidP="00BF49AB">
      <w:pPr>
        <w:tabs>
          <w:tab w:val="num" w:pos="720"/>
        </w:tabs>
        <w:ind w:left="720" w:hanging="36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41313F3F" w14:textId="77777777" w:rsidR="00BF49AB" w:rsidRDefault="00BF49AB" w:rsidP="00BF49AB">
      <w:pPr>
        <w:tabs>
          <w:tab w:val="num" w:pos="720"/>
        </w:tabs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Roditelj djeteta korisnika usluga primarnog 5-satnog poludnevnog programa dužan je sudjelovati u cijeni programa u iznosu 50% od cijene usluge 10-satnog programa.“</w:t>
      </w:r>
    </w:p>
    <w:p w14:paraId="19543A77" w14:textId="77777777" w:rsidR="00BF49AB" w:rsidRDefault="00BF49AB" w:rsidP="00BF49AB">
      <w:pPr>
        <w:tabs>
          <w:tab w:val="num" w:pos="720"/>
        </w:tabs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4F53B442" w14:textId="77777777" w:rsidR="00BF49AB" w:rsidRPr="00ED6A4B" w:rsidRDefault="00BF49AB" w:rsidP="00BF49AB">
      <w:pPr>
        <w:tabs>
          <w:tab w:val="num" w:pos="720"/>
        </w:tabs>
        <w:ind w:left="720" w:hanging="36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ED6A4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Članak 2.</w:t>
      </w:r>
    </w:p>
    <w:p w14:paraId="59371753" w14:textId="77777777" w:rsidR="00BF49AB" w:rsidRDefault="00BF49AB" w:rsidP="00BF49AB">
      <w:pPr>
        <w:tabs>
          <w:tab w:val="num" w:pos="720"/>
        </w:tabs>
        <w:ind w:left="720" w:hanging="36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3186B2B4" w14:textId="77777777" w:rsidR="00BF49AB" w:rsidRDefault="00BF49AB" w:rsidP="00BF49AB">
      <w:pPr>
        <w:tabs>
          <w:tab w:val="num" w:pos="720"/>
        </w:tabs>
        <w:ind w:left="720" w:hanging="360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Ostale odredbe Odluke </w:t>
      </w:r>
      <w:r w:rsidRP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o utvrđivanju mjerila za sudjelovanje roditelja u cijeni usluga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 w:rsidRP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Dječjeg vrtića Pčelica Čazma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ostaju neizmijenjene.</w:t>
      </w:r>
    </w:p>
    <w:p w14:paraId="17827E48" w14:textId="77777777" w:rsidR="00BF49AB" w:rsidRDefault="00BF49AB" w:rsidP="00BF49AB">
      <w:pPr>
        <w:tabs>
          <w:tab w:val="num" w:pos="720"/>
        </w:tabs>
        <w:ind w:left="720" w:hanging="36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0433504D" w14:textId="77777777" w:rsidR="00BF49AB" w:rsidRPr="00172516" w:rsidRDefault="00BF49AB" w:rsidP="00BF49AB">
      <w:pPr>
        <w:tabs>
          <w:tab w:val="num" w:pos="720"/>
        </w:tabs>
        <w:ind w:left="720" w:hanging="36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3F9C39AB" w14:textId="77777777" w:rsidR="00BF49AB" w:rsidRPr="00172516" w:rsidRDefault="00BF49AB" w:rsidP="00BF49A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Članak 3. </w:t>
      </w:r>
    </w:p>
    <w:p w14:paraId="675D2897" w14:textId="77777777" w:rsidR="00BF49AB" w:rsidRPr="00172516" w:rsidRDefault="00BF49AB" w:rsidP="00BF49AB">
      <w:pPr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7BEB1007" w14:textId="77777777" w:rsidR="00BF49AB" w:rsidRPr="00172516" w:rsidRDefault="00BF49AB" w:rsidP="00BF49A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Ova Odluka stupa na snagu os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mog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dana 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od dana 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objave u 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„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Službenom vjesniku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“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te će se početi primjenjivati od 1.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siječnja 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202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6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.</w:t>
      </w:r>
    </w:p>
    <w:p w14:paraId="03D2E152" w14:textId="77777777" w:rsidR="00BF49AB" w:rsidRPr="00172516" w:rsidRDefault="00BF49AB" w:rsidP="00BF49A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4C1AB52B" w14:textId="77777777" w:rsidR="00BF49AB" w:rsidRPr="00172516" w:rsidRDefault="00BF49AB" w:rsidP="00BF49AB">
      <w:pPr>
        <w:tabs>
          <w:tab w:val="left" w:pos="708"/>
          <w:tab w:val="center" w:pos="4536"/>
          <w:tab w:val="right" w:pos="9072"/>
        </w:tabs>
        <w:ind w:left="4536"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PREDSJEDNIK GRADSKOG VIJEĆA</w:t>
      </w:r>
    </w:p>
    <w:p w14:paraId="37A51D2C" w14:textId="77777777" w:rsidR="00BF49AB" w:rsidRPr="00172516" w:rsidRDefault="00BF49AB" w:rsidP="00BF49AB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545CDFB3" w14:textId="77777777" w:rsidR="00BF49AB" w:rsidRPr="00172516" w:rsidRDefault="00BF49AB" w:rsidP="00BF49AB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17251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Igor Grčić</w:t>
      </w: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 </w:t>
      </w:r>
    </w:p>
    <w:p w14:paraId="1BF3817A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D38A2"/>
    <w:rsid w:val="00275B0C"/>
    <w:rsid w:val="002902BD"/>
    <w:rsid w:val="002C7B0F"/>
    <w:rsid w:val="00347D72"/>
    <w:rsid w:val="003F65C1"/>
    <w:rsid w:val="00421BCF"/>
    <w:rsid w:val="00675A85"/>
    <w:rsid w:val="00693AB1"/>
    <w:rsid w:val="007F22EC"/>
    <w:rsid w:val="008A562A"/>
    <w:rsid w:val="008C5FE5"/>
    <w:rsid w:val="009B7A12"/>
    <w:rsid w:val="00A836D0"/>
    <w:rsid w:val="00AC35DA"/>
    <w:rsid w:val="00B92D0F"/>
    <w:rsid w:val="00BF49AB"/>
    <w:rsid w:val="00C9578C"/>
    <w:rsid w:val="00CA0577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F45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Dujić</cp:lastModifiedBy>
  <cp:revision>2</cp:revision>
  <cp:lastPrinted>2014-11-26T14:09:00Z</cp:lastPrinted>
  <dcterms:created xsi:type="dcterms:W3CDTF">2025-12-15T10:41:00Z</dcterms:created>
  <dcterms:modified xsi:type="dcterms:W3CDTF">2025-12-15T10:41:00Z</dcterms:modified>
</cp:coreProperties>
</file>