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990825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CF1212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+*yqw*ywh*yEn*ljg*ugB*dzb*khx*wEe*wDh*fsc*zew*-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+*eDs*lyd*lyd*lyd*lyd*iCs*nFw*dvy*xjB*Alj*zfE*-</w:t>
            </w:r>
            <w:r>
              <w:rPr>
                <w:rFonts w:ascii="PDF417x" w:hAnsi="PDF417x"/>
                <w:sz w:val="24"/>
                <w:szCs w:val="24"/>
              </w:rPr>
              <w:br/>
              <w:t>+*ftw*gig*nCc*kva*oxw*Eas*bbn*azj*bik*Bqk*onA*-</w:t>
            </w:r>
            <w:r>
              <w:rPr>
                <w:rFonts w:ascii="PDF417x" w:hAnsi="PDF417x"/>
                <w:sz w:val="24"/>
                <w:szCs w:val="24"/>
              </w:rPr>
              <w:br/>
              <w:t>+*ftA*pwa*xAl*wfr*wvB*Fyg*ycf*Cyc*jaz*sEt*uws*-</w:t>
            </w:r>
            <w:r>
              <w:rPr>
                <w:rFonts w:ascii="PDF417x" w:hAnsi="PDF417x"/>
                <w:sz w:val="24"/>
                <w:szCs w:val="24"/>
              </w:rPr>
              <w:br/>
              <w:t>+*xjq*EEy*jqC*jDD*kir*bgi*igi*ktj*rkf*jaa*uzq*-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6A1FF8EF" w14:textId="77777777" w:rsidTr="00675A85">
        <w:trPr>
          <w:trHeight w:val="1152"/>
        </w:trPr>
        <w:tc>
          <w:tcPr>
            <w:tcW w:w="1008" w:type="dxa"/>
          </w:tcPr>
          <w:p w14:paraId="77E45861" w14:textId="77777777" w:rsidR="00675A85" w:rsidRDefault="00675A85" w:rsidP="00675A85"/>
        </w:tc>
        <w:tc>
          <w:tcPr>
            <w:tcW w:w="5130" w:type="dxa"/>
          </w:tcPr>
          <w:p w14:paraId="0E1F8437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259D79E" wp14:editId="0BB1B20D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663BA8D4" w14:textId="77777777" w:rsidTr="00675A85">
        <w:tc>
          <w:tcPr>
            <w:tcW w:w="1008" w:type="dxa"/>
          </w:tcPr>
          <w:p w14:paraId="679DE98D" w14:textId="77777777" w:rsidR="00675A85" w:rsidRDefault="00675A85" w:rsidP="00675A85">
            <w:r>
              <w:drawing>
                <wp:inline distT="0" distB="0" distL="0" distR="0" wp14:anchorId="3B08548B" wp14:editId="49A03EB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015A250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4900939B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362B7228" w14:textId="77777777" w:rsidR="00675A85" w:rsidRDefault="00675A85" w:rsidP="00675A85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3BC741FF" w14:textId="1BDEFBF6" w:rsidR="00675A85" w:rsidRDefault="00C36A09" w:rsidP="00675A85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44BB2E71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C8BB03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BF18269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B24DC6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028F2C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DF58F96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0922D2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2DC26B0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2C4F3C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8C8B17F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364E2250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029-01/25-01/04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6E873459" w14:textId="77777777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2103-2-05/04-25-2</w:t>
      </w:r>
    </w:p>
    <w:p w14:paraId="53F019A4" w14:textId="265D35E8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C36A0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23.06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.2025.</w:t>
      </w:r>
    </w:p>
    <w:p w14:paraId="3D148437" w14:textId="77777777" w:rsidR="00B92D0F" w:rsidRPr="000F037B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6A6434E" w14:textId="2A1D6DD6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</w:t>
      </w:r>
      <w:r>
        <w:rPr>
          <w:color w:val="000000"/>
        </w:rPr>
        <w:t xml:space="preserve"> i 47.</w:t>
      </w:r>
      <w:r w:rsidRPr="008F4F61">
        <w:rPr>
          <w:color w:val="000000"/>
        </w:rPr>
        <w:t xml:space="preserve"> Statuta Grada Čazme („Službeni vjesnik“ broj 13/21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</w:t>
      </w:r>
      <w:r w:rsidRPr="008F4F61">
        <w:rPr>
          <w:color w:val="000000"/>
        </w:rPr>
        <w:t xml:space="preserve">. stavka </w:t>
      </w:r>
      <w:r>
        <w:rPr>
          <w:color w:val="000000"/>
        </w:rPr>
        <w:t>2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 i 46/24</w:t>
      </w:r>
      <w:r>
        <w:rPr>
          <w:color w:val="000000"/>
        </w:rPr>
        <w:t xml:space="preserve"> i 39/25</w:t>
      </w:r>
      <w:r w:rsidRPr="008F4F61">
        <w:rPr>
          <w:color w:val="000000"/>
        </w:rPr>
        <w:t>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2. sjednici održanoj dana </w:t>
      </w:r>
      <w:r>
        <w:rPr>
          <w:color w:val="000000"/>
        </w:rPr>
        <w:t xml:space="preserve">23. lipnja 2025. </w:t>
      </w:r>
      <w:r w:rsidRPr="008F4F61">
        <w:rPr>
          <w:color w:val="000000"/>
        </w:rPr>
        <w:t xml:space="preserve">godine, </w:t>
      </w:r>
      <w:r>
        <w:rPr>
          <w:color w:val="000000"/>
        </w:rPr>
        <w:t>donosi</w:t>
      </w:r>
    </w:p>
    <w:p w14:paraId="137107C4" w14:textId="77777777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7243AA6A" w14:textId="77777777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>
        <w:rPr>
          <w:b/>
          <w:bCs/>
          <w:color w:val="000000"/>
        </w:rPr>
        <w:t xml:space="preserve"> O IZMJENI I DOPUNI ODLUKE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>izboru Mandatn</w:t>
      </w:r>
      <w:r>
        <w:rPr>
          <w:b/>
          <w:bCs/>
          <w:color w:val="000000"/>
        </w:rPr>
        <w:t>og povjerenstva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28ED97E6" w14:textId="77777777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3DE921E7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33C68278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6188107B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Odluka o osnivanju i izboru Mandatnog povjerenstva Gradskog vijeća Grada Čazme (Službeni vjesnik broj 39/25) mijenja se na način da se u članku 3. dodaju 4. i 5. član Mandatnog povjerenstva i to:</w:t>
      </w:r>
    </w:p>
    <w:p w14:paraId="3BED2530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13B86880" w14:textId="17C4D99D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 Mario </w:t>
      </w:r>
      <w:proofErr w:type="spellStart"/>
      <w:r>
        <w:rPr>
          <w:color w:val="000000"/>
        </w:rPr>
        <w:t>Frljužec</w:t>
      </w:r>
      <w:proofErr w:type="spellEnd"/>
      <w:r>
        <w:rPr>
          <w:color w:val="000000"/>
        </w:rPr>
        <w:t>, za člana</w:t>
      </w:r>
    </w:p>
    <w:p w14:paraId="248DA39C" w14:textId="64A2DC1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>
        <w:rPr>
          <w:color w:val="000000"/>
        </w:rPr>
        <w:t xml:space="preserve">5. </w:t>
      </w:r>
      <w:r>
        <w:rPr>
          <w:color w:val="000000"/>
        </w:rPr>
        <w:t>Dražen Pavlović, za člana</w:t>
      </w:r>
    </w:p>
    <w:p w14:paraId="68CA587C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35B16B75" w14:textId="77777777" w:rsidR="00C36A09" w:rsidRPr="006D1C0E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72743C3F" w14:textId="77777777" w:rsidR="00C36A09" w:rsidRPr="004121FD" w:rsidRDefault="00C36A09" w:rsidP="00C36A0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>Ostale odredbe ostaju neizmijenjene.</w:t>
      </w:r>
    </w:p>
    <w:p w14:paraId="7038276F" w14:textId="77777777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</w:p>
    <w:p w14:paraId="354DB28E" w14:textId="77777777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3</w:t>
      </w:r>
      <w:r w:rsidRPr="008F4F61">
        <w:rPr>
          <w:b/>
          <w:bCs/>
          <w:color w:val="000000"/>
        </w:rPr>
        <w:t>.</w:t>
      </w:r>
    </w:p>
    <w:p w14:paraId="00C7B45A" w14:textId="77777777" w:rsidR="00C36A09" w:rsidRPr="008F4F61" w:rsidRDefault="00C36A09" w:rsidP="00C36A09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085E8E1B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2E7E5822" w14:textId="77777777" w:rsidR="00C36A09" w:rsidRDefault="00C36A09" w:rsidP="00C36A0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4007E9C7" w14:textId="77777777" w:rsidR="00C36A09" w:rsidRPr="004121FD" w:rsidRDefault="00C36A09" w:rsidP="00C36A09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4121FD">
        <w:rPr>
          <w:color w:val="000000"/>
        </w:rPr>
        <w:t xml:space="preserve">PREDSJEDNIK GRADSKOG VIJEĆA </w:t>
      </w:r>
    </w:p>
    <w:p w14:paraId="0AA05C30" w14:textId="77777777" w:rsidR="00C36A09" w:rsidRPr="004121FD" w:rsidRDefault="00C36A09" w:rsidP="00C36A09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4121FD">
        <w:t xml:space="preserve">                                                                                                        Igor Grčić</w:t>
      </w:r>
    </w:p>
    <w:p w14:paraId="1A55401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87BAD8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917D52D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3922994" wp14:editId="3951D05B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ED62F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22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1FED62F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49BC"/>
    <w:rsid w:val="000F037B"/>
    <w:rsid w:val="00275B0C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36A09"/>
    <w:rsid w:val="00C9578C"/>
    <w:rsid w:val="00D707B3"/>
    <w:rsid w:val="00E55405"/>
    <w:rsid w:val="00F21F17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135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C36A0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2025-07-01T06:43:00Z</cp:lastPrinted>
  <dcterms:created xsi:type="dcterms:W3CDTF">2025-07-01T06:44:00Z</dcterms:created>
  <dcterms:modified xsi:type="dcterms:W3CDTF">2025-07-01T06:44:00Z</dcterms:modified>
</cp:coreProperties>
</file>